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76" w:rsidRDefault="000B59B1" w:rsidP="000B59B1">
      <w:pPr>
        <w:jc w:val="center"/>
        <w:rPr>
          <w:b/>
          <w:sz w:val="32"/>
          <w:szCs w:val="32"/>
          <w:u w:val="single"/>
        </w:rPr>
      </w:pPr>
      <w:r w:rsidRPr="000B59B1">
        <w:rPr>
          <w:b/>
          <w:sz w:val="32"/>
          <w:szCs w:val="32"/>
          <w:u w:val="single"/>
        </w:rPr>
        <w:t>Compte rendu mission de restitution  1</w:t>
      </w:r>
      <w:r w:rsidRPr="000B59B1">
        <w:rPr>
          <w:b/>
          <w:sz w:val="32"/>
          <w:szCs w:val="32"/>
          <w:u w:val="single"/>
          <w:vertAlign w:val="superscript"/>
        </w:rPr>
        <w:t xml:space="preserve">er </w:t>
      </w:r>
      <w:r w:rsidRPr="000B59B1">
        <w:rPr>
          <w:b/>
          <w:sz w:val="32"/>
          <w:szCs w:val="32"/>
          <w:u w:val="single"/>
        </w:rPr>
        <w:t>semestre 2015</w:t>
      </w:r>
    </w:p>
    <w:p w:rsidR="000B59B1" w:rsidRPr="00994280" w:rsidRDefault="000B59B1" w:rsidP="000B59B1">
      <w:pPr>
        <w:pStyle w:val="Paragraphedeliste"/>
        <w:numPr>
          <w:ilvl w:val="0"/>
          <w:numId w:val="1"/>
        </w:numPr>
        <w:jc w:val="both"/>
        <w:rPr>
          <w:b/>
          <w:sz w:val="32"/>
          <w:szCs w:val="32"/>
          <w:u w:val="single"/>
        </w:rPr>
      </w:pPr>
      <w:r w:rsidRPr="00994280">
        <w:rPr>
          <w:b/>
          <w:sz w:val="32"/>
          <w:szCs w:val="32"/>
          <w:u w:val="single"/>
        </w:rPr>
        <w:t>Contexte</w:t>
      </w:r>
    </w:p>
    <w:p w:rsidR="000B59B1" w:rsidRDefault="000B59B1" w:rsidP="00994280">
      <w:pPr>
        <w:pStyle w:val="Paragraphedeliste"/>
        <w:ind w:left="284"/>
        <w:jc w:val="both"/>
        <w:rPr>
          <w:sz w:val="24"/>
          <w:szCs w:val="24"/>
        </w:rPr>
      </w:pPr>
      <w:r>
        <w:rPr>
          <w:sz w:val="24"/>
          <w:szCs w:val="24"/>
        </w:rPr>
        <w:t xml:space="preserve">Conformément à son cahier de charges , l'opérateur STeFi  organise des missions de restitution des résultats d'audit  après chaque arrêté de compte des centres AEP. Ainsi ces opérations </w:t>
      </w:r>
      <w:r w:rsidR="00EF4E7A">
        <w:rPr>
          <w:sz w:val="24"/>
          <w:szCs w:val="24"/>
        </w:rPr>
        <w:t xml:space="preserve">se sont déroulées du 12 octobre au </w:t>
      </w:r>
      <w:r w:rsidR="00A15ABB">
        <w:rPr>
          <w:sz w:val="24"/>
          <w:szCs w:val="24"/>
        </w:rPr>
        <w:t xml:space="preserve"> 15 novembre 2015 dans les centres. En effet pour chaque centre visité, il y a eu </w:t>
      </w:r>
      <w:r w:rsidR="00EF4E7A">
        <w:rPr>
          <w:sz w:val="24"/>
          <w:szCs w:val="24"/>
        </w:rPr>
        <w:t xml:space="preserve"> deux temps</w:t>
      </w:r>
      <w:r w:rsidR="00A15ABB">
        <w:rPr>
          <w:sz w:val="24"/>
          <w:szCs w:val="24"/>
        </w:rPr>
        <w:t xml:space="preserve"> de travail:</w:t>
      </w:r>
    </w:p>
    <w:p w:rsidR="00EF4E7A" w:rsidRDefault="00EF4E7A" w:rsidP="00994280">
      <w:pPr>
        <w:pStyle w:val="Paragraphedeliste"/>
        <w:numPr>
          <w:ilvl w:val="0"/>
          <w:numId w:val="2"/>
        </w:numPr>
        <w:jc w:val="both"/>
        <w:rPr>
          <w:sz w:val="24"/>
          <w:szCs w:val="24"/>
        </w:rPr>
      </w:pPr>
      <w:r>
        <w:rPr>
          <w:sz w:val="24"/>
          <w:szCs w:val="24"/>
        </w:rPr>
        <w:t>Un premier temps d'inspection des installations techniques,</w:t>
      </w:r>
    </w:p>
    <w:p w:rsidR="00994280" w:rsidRPr="00A31C93" w:rsidRDefault="00EF4E7A" w:rsidP="00994280">
      <w:pPr>
        <w:pStyle w:val="Paragraphedeliste"/>
        <w:numPr>
          <w:ilvl w:val="0"/>
          <w:numId w:val="2"/>
        </w:numPr>
        <w:jc w:val="both"/>
        <w:rPr>
          <w:sz w:val="24"/>
          <w:szCs w:val="24"/>
        </w:rPr>
      </w:pPr>
      <w:r>
        <w:rPr>
          <w:sz w:val="24"/>
          <w:szCs w:val="24"/>
        </w:rPr>
        <w:t xml:space="preserve">Et deuxième temps de restitution du rapport financier et des constats de l'inspection technique en assemblée générale. </w:t>
      </w:r>
    </w:p>
    <w:p w:rsidR="00994280" w:rsidRPr="00AB6181" w:rsidRDefault="00994280" w:rsidP="00994280">
      <w:pPr>
        <w:pStyle w:val="Paragraphedeliste"/>
        <w:numPr>
          <w:ilvl w:val="0"/>
          <w:numId w:val="1"/>
        </w:numPr>
        <w:rPr>
          <w:b/>
          <w:sz w:val="24"/>
          <w:szCs w:val="24"/>
          <w:u w:val="single"/>
        </w:rPr>
      </w:pPr>
      <w:r w:rsidRPr="00994280">
        <w:rPr>
          <w:b/>
          <w:sz w:val="24"/>
          <w:szCs w:val="24"/>
          <w:u w:val="single"/>
        </w:rPr>
        <w:t>Déroulement de la mission</w:t>
      </w:r>
    </w:p>
    <w:p w:rsidR="00AB6181" w:rsidRDefault="00994280" w:rsidP="00AB6181">
      <w:pPr>
        <w:pStyle w:val="Paragraphedeliste"/>
        <w:numPr>
          <w:ilvl w:val="0"/>
          <w:numId w:val="3"/>
        </w:numPr>
        <w:ind w:left="851" w:hanging="284"/>
        <w:rPr>
          <w:b/>
          <w:sz w:val="24"/>
          <w:szCs w:val="24"/>
        </w:rPr>
      </w:pPr>
      <w:r w:rsidRPr="00AB6181">
        <w:rPr>
          <w:b/>
          <w:sz w:val="24"/>
          <w:szCs w:val="24"/>
        </w:rPr>
        <w:t xml:space="preserve">Le </w:t>
      </w:r>
      <w:r w:rsidR="00AB6181" w:rsidRPr="00AB6181">
        <w:rPr>
          <w:b/>
          <w:sz w:val="24"/>
          <w:szCs w:val="24"/>
        </w:rPr>
        <w:t>temps d'inspection technique</w:t>
      </w:r>
      <w:r w:rsidR="00AB6181">
        <w:rPr>
          <w:b/>
          <w:sz w:val="24"/>
          <w:szCs w:val="24"/>
        </w:rPr>
        <w:t>:</w:t>
      </w:r>
    </w:p>
    <w:p w:rsidR="00994280" w:rsidRDefault="00AB6181" w:rsidP="00F91D98">
      <w:pPr>
        <w:pStyle w:val="Paragraphedeliste"/>
        <w:ind w:left="567"/>
        <w:jc w:val="both"/>
        <w:rPr>
          <w:sz w:val="24"/>
          <w:szCs w:val="24"/>
        </w:rPr>
      </w:pPr>
      <w:r>
        <w:rPr>
          <w:sz w:val="24"/>
          <w:szCs w:val="24"/>
        </w:rPr>
        <w:t>L</w:t>
      </w:r>
      <w:r w:rsidRPr="00AB6181">
        <w:rPr>
          <w:sz w:val="24"/>
          <w:szCs w:val="24"/>
        </w:rPr>
        <w:t>a visite des installations techniques</w:t>
      </w:r>
      <w:r>
        <w:rPr>
          <w:sz w:val="24"/>
          <w:szCs w:val="24"/>
        </w:rPr>
        <w:t xml:space="preserve"> effectué par l'équipe de restitution en présence </w:t>
      </w:r>
      <w:r w:rsidR="00F91D98">
        <w:rPr>
          <w:sz w:val="24"/>
          <w:szCs w:val="24"/>
        </w:rPr>
        <w:t xml:space="preserve"> </w:t>
      </w:r>
      <w:r>
        <w:rPr>
          <w:sz w:val="24"/>
          <w:szCs w:val="24"/>
        </w:rPr>
        <w:t xml:space="preserve">des membres du bureau révèle le niveau d'engagement de chaque acteur dans le suivi et l'entretien  des installations. </w:t>
      </w:r>
      <w:r w:rsidR="00927015">
        <w:rPr>
          <w:sz w:val="24"/>
          <w:szCs w:val="24"/>
        </w:rPr>
        <w:t xml:space="preserve">Afin de préserver la pérennité du  système, des conseils </w:t>
      </w:r>
      <w:r w:rsidR="00F91D98">
        <w:rPr>
          <w:sz w:val="24"/>
          <w:szCs w:val="24"/>
        </w:rPr>
        <w:t xml:space="preserve"> de bonne conduite et des recommandations </w:t>
      </w:r>
      <w:r w:rsidR="00927015">
        <w:rPr>
          <w:sz w:val="24"/>
          <w:szCs w:val="24"/>
        </w:rPr>
        <w:t xml:space="preserve">sont prodigués aux différents responsables après chaque constat.  </w:t>
      </w:r>
    </w:p>
    <w:p w:rsidR="00053F1B" w:rsidRDefault="00826EF6" w:rsidP="00F91D98">
      <w:pPr>
        <w:pStyle w:val="Paragraphedeliste"/>
        <w:ind w:left="567"/>
        <w:jc w:val="both"/>
        <w:rPr>
          <w:sz w:val="24"/>
          <w:szCs w:val="24"/>
        </w:rPr>
      </w:pPr>
      <w:r>
        <w:rPr>
          <w:sz w:val="24"/>
          <w:szCs w:val="24"/>
        </w:rPr>
        <w:t>De façon générale, les centres visités présentent une situation technique assez stable mis a part quelques centres.</w:t>
      </w:r>
      <w:r w:rsidR="00573586">
        <w:rPr>
          <w:sz w:val="24"/>
          <w:szCs w:val="24"/>
        </w:rPr>
        <w:t xml:space="preserve"> Le tableau ci dessous cité présente le</w:t>
      </w:r>
      <w:r w:rsidR="00A31C93">
        <w:rPr>
          <w:sz w:val="24"/>
          <w:szCs w:val="24"/>
        </w:rPr>
        <w:t>s</w:t>
      </w:r>
      <w:r w:rsidR="00573586">
        <w:rPr>
          <w:sz w:val="24"/>
          <w:szCs w:val="24"/>
        </w:rPr>
        <w:t xml:space="preserve"> détail</w:t>
      </w:r>
      <w:r w:rsidR="00A31C93">
        <w:rPr>
          <w:sz w:val="24"/>
          <w:szCs w:val="24"/>
        </w:rPr>
        <w:t>s</w:t>
      </w:r>
      <w:r w:rsidR="00573586">
        <w:rPr>
          <w:sz w:val="24"/>
          <w:szCs w:val="24"/>
        </w:rPr>
        <w:t xml:space="preserve"> des constats et recommandations techniques à l'endroit des responsables chargés de la gestion des centres AEP.</w:t>
      </w:r>
    </w:p>
    <w:p w:rsidR="00053F1B" w:rsidRDefault="00053F1B" w:rsidP="00F91D98">
      <w:pPr>
        <w:pStyle w:val="Paragraphedeliste"/>
        <w:ind w:left="567"/>
        <w:jc w:val="both"/>
        <w:rPr>
          <w:sz w:val="24"/>
          <w:szCs w:val="24"/>
        </w:rPr>
      </w:pPr>
    </w:p>
    <w:tbl>
      <w:tblPr>
        <w:tblStyle w:val="Grilledutableau"/>
        <w:tblW w:w="9443" w:type="dxa"/>
        <w:tblInd w:w="567" w:type="dxa"/>
        <w:tblLook w:val="04A0"/>
      </w:tblPr>
      <w:tblGrid>
        <w:gridCol w:w="1806"/>
        <w:gridCol w:w="4489"/>
        <w:gridCol w:w="3148"/>
      </w:tblGrid>
      <w:tr w:rsidR="00053F1B" w:rsidRPr="00053F1B" w:rsidTr="00053F1B">
        <w:trPr>
          <w:trHeight w:val="300"/>
        </w:trPr>
        <w:tc>
          <w:tcPr>
            <w:tcW w:w="1806" w:type="dxa"/>
          </w:tcPr>
          <w:p w:rsidR="00053F1B" w:rsidRPr="00053F1B" w:rsidRDefault="00053F1B" w:rsidP="00F91D98">
            <w:pPr>
              <w:pStyle w:val="Paragraphedeliste"/>
              <w:ind w:left="0"/>
              <w:jc w:val="both"/>
              <w:rPr>
                <w:b/>
                <w:sz w:val="24"/>
                <w:szCs w:val="24"/>
              </w:rPr>
            </w:pPr>
            <w:r w:rsidRPr="00053F1B">
              <w:rPr>
                <w:b/>
                <w:sz w:val="24"/>
                <w:szCs w:val="24"/>
              </w:rPr>
              <w:t xml:space="preserve">Centres </w:t>
            </w:r>
          </w:p>
        </w:tc>
        <w:tc>
          <w:tcPr>
            <w:tcW w:w="4489" w:type="dxa"/>
          </w:tcPr>
          <w:p w:rsidR="00053F1B" w:rsidRPr="00053F1B" w:rsidRDefault="00053F1B" w:rsidP="00F91D98">
            <w:pPr>
              <w:pStyle w:val="Paragraphedeliste"/>
              <w:ind w:left="0"/>
              <w:jc w:val="both"/>
              <w:rPr>
                <w:b/>
                <w:sz w:val="24"/>
                <w:szCs w:val="24"/>
              </w:rPr>
            </w:pPr>
            <w:r w:rsidRPr="00053F1B">
              <w:rPr>
                <w:b/>
                <w:sz w:val="24"/>
                <w:szCs w:val="24"/>
              </w:rPr>
              <w:t>Constats techniques</w:t>
            </w:r>
          </w:p>
        </w:tc>
        <w:tc>
          <w:tcPr>
            <w:tcW w:w="3148" w:type="dxa"/>
          </w:tcPr>
          <w:p w:rsidR="00053F1B" w:rsidRPr="00053F1B" w:rsidRDefault="00053F1B" w:rsidP="00F91D98">
            <w:pPr>
              <w:pStyle w:val="Paragraphedeliste"/>
              <w:ind w:left="0"/>
              <w:jc w:val="both"/>
              <w:rPr>
                <w:b/>
                <w:sz w:val="24"/>
                <w:szCs w:val="24"/>
              </w:rPr>
            </w:pPr>
            <w:r w:rsidRPr="00053F1B">
              <w:rPr>
                <w:b/>
                <w:sz w:val="24"/>
                <w:szCs w:val="24"/>
              </w:rPr>
              <w:t xml:space="preserve">Recommandations </w:t>
            </w:r>
          </w:p>
        </w:tc>
      </w:tr>
      <w:tr w:rsidR="00053F1B" w:rsidTr="00053F1B">
        <w:trPr>
          <w:trHeight w:val="285"/>
        </w:trPr>
        <w:tc>
          <w:tcPr>
            <w:tcW w:w="1806" w:type="dxa"/>
          </w:tcPr>
          <w:p w:rsidR="00053F1B" w:rsidRDefault="00C9154E" w:rsidP="00F91D98">
            <w:pPr>
              <w:pStyle w:val="Paragraphedeliste"/>
              <w:ind w:left="0"/>
              <w:jc w:val="both"/>
              <w:rPr>
                <w:sz w:val="24"/>
                <w:szCs w:val="24"/>
              </w:rPr>
            </w:pPr>
            <w:r>
              <w:rPr>
                <w:sz w:val="24"/>
                <w:szCs w:val="24"/>
              </w:rPr>
              <w:t>Diataya</w:t>
            </w:r>
          </w:p>
        </w:tc>
        <w:tc>
          <w:tcPr>
            <w:tcW w:w="4489" w:type="dxa"/>
          </w:tcPr>
          <w:p w:rsidR="00053F1B" w:rsidRDefault="00C9154E" w:rsidP="00F91D98">
            <w:pPr>
              <w:pStyle w:val="Paragraphedeliste"/>
              <w:ind w:left="0"/>
              <w:jc w:val="both"/>
              <w:rPr>
                <w:sz w:val="24"/>
                <w:szCs w:val="24"/>
              </w:rPr>
            </w:pPr>
            <w:r>
              <w:rPr>
                <w:sz w:val="24"/>
                <w:szCs w:val="24"/>
              </w:rPr>
              <w:t>D'énorme perte d'eau, installations techniques vieillissantes</w:t>
            </w:r>
          </w:p>
        </w:tc>
        <w:tc>
          <w:tcPr>
            <w:tcW w:w="3148" w:type="dxa"/>
          </w:tcPr>
          <w:p w:rsidR="00053F1B" w:rsidRDefault="00C9154E" w:rsidP="00F91D98">
            <w:pPr>
              <w:pStyle w:val="Paragraphedeliste"/>
              <w:ind w:left="0"/>
              <w:jc w:val="both"/>
              <w:rPr>
                <w:sz w:val="24"/>
                <w:szCs w:val="24"/>
              </w:rPr>
            </w:pPr>
            <w:r>
              <w:rPr>
                <w:sz w:val="24"/>
                <w:szCs w:val="24"/>
              </w:rPr>
              <w:t>Revoir les installations pour mini</w:t>
            </w:r>
            <w:r w:rsidR="00E87A84">
              <w:rPr>
                <w:sz w:val="24"/>
                <w:szCs w:val="24"/>
              </w:rPr>
              <w:t>miser les pertes d'eau au niveau du réseau.</w:t>
            </w:r>
          </w:p>
        </w:tc>
      </w:tr>
      <w:tr w:rsidR="00053F1B" w:rsidTr="00053F1B">
        <w:trPr>
          <w:trHeight w:val="300"/>
        </w:trPr>
        <w:tc>
          <w:tcPr>
            <w:tcW w:w="1806" w:type="dxa"/>
          </w:tcPr>
          <w:p w:rsidR="00053F1B" w:rsidRDefault="00C9154E" w:rsidP="00F91D98">
            <w:pPr>
              <w:pStyle w:val="Paragraphedeliste"/>
              <w:ind w:left="0"/>
              <w:jc w:val="both"/>
              <w:rPr>
                <w:sz w:val="24"/>
                <w:szCs w:val="24"/>
              </w:rPr>
            </w:pPr>
            <w:r>
              <w:rPr>
                <w:sz w:val="24"/>
                <w:szCs w:val="24"/>
              </w:rPr>
              <w:t>Sabouciré Sambala</w:t>
            </w:r>
          </w:p>
        </w:tc>
        <w:tc>
          <w:tcPr>
            <w:tcW w:w="4489" w:type="dxa"/>
          </w:tcPr>
          <w:p w:rsidR="00053F1B" w:rsidRDefault="00E87A84" w:rsidP="00F91D98">
            <w:pPr>
              <w:pStyle w:val="Paragraphedeliste"/>
              <w:ind w:left="0"/>
              <w:jc w:val="both"/>
              <w:rPr>
                <w:sz w:val="24"/>
                <w:szCs w:val="24"/>
              </w:rPr>
            </w:pPr>
            <w:r>
              <w:rPr>
                <w:sz w:val="24"/>
                <w:szCs w:val="24"/>
              </w:rPr>
              <w:t xml:space="preserve">Compteur forage en panne depuis plusieurs années ne permettant pas de connaitre le rendement du réseau, fuite d'eau sur le château </w:t>
            </w:r>
          </w:p>
        </w:tc>
        <w:tc>
          <w:tcPr>
            <w:tcW w:w="3148" w:type="dxa"/>
          </w:tcPr>
          <w:p w:rsidR="00E87A84" w:rsidRDefault="00E87A84" w:rsidP="00F91D98">
            <w:pPr>
              <w:pStyle w:val="Paragraphedeliste"/>
              <w:ind w:left="0"/>
              <w:jc w:val="both"/>
              <w:rPr>
                <w:sz w:val="24"/>
                <w:szCs w:val="24"/>
              </w:rPr>
            </w:pPr>
            <w:r>
              <w:rPr>
                <w:sz w:val="24"/>
                <w:szCs w:val="24"/>
              </w:rPr>
              <w:t>Remplacer le compteur du forage et prendre des dispositions nécessaires pour réparer la fuite sur le château</w:t>
            </w:r>
          </w:p>
          <w:p w:rsidR="00053F1B" w:rsidRDefault="00E87A84" w:rsidP="00F91D98">
            <w:pPr>
              <w:pStyle w:val="Paragraphedeliste"/>
              <w:ind w:left="0"/>
              <w:jc w:val="both"/>
              <w:rPr>
                <w:sz w:val="24"/>
                <w:szCs w:val="24"/>
              </w:rPr>
            </w:pPr>
            <w:r>
              <w:rPr>
                <w:sz w:val="24"/>
                <w:szCs w:val="24"/>
              </w:rPr>
              <w:t xml:space="preserve"> </w:t>
            </w:r>
          </w:p>
        </w:tc>
      </w:tr>
      <w:tr w:rsidR="00053F1B" w:rsidTr="00053F1B">
        <w:trPr>
          <w:trHeight w:val="285"/>
        </w:trPr>
        <w:tc>
          <w:tcPr>
            <w:tcW w:w="1806" w:type="dxa"/>
          </w:tcPr>
          <w:p w:rsidR="00053F1B" w:rsidRDefault="00E87A84" w:rsidP="00F91D98">
            <w:pPr>
              <w:pStyle w:val="Paragraphedeliste"/>
              <w:ind w:left="0"/>
              <w:jc w:val="both"/>
              <w:rPr>
                <w:sz w:val="24"/>
                <w:szCs w:val="24"/>
              </w:rPr>
            </w:pPr>
            <w:r>
              <w:rPr>
                <w:sz w:val="24"/>
                <w:szCs w:val="24"/>
              </w:rPr>
              <w:t>Lambatara</w:t>
            </w:r>
          </w:p>
        </w:tc>
        <w:tc>
          <w:tcPr>
            <w:tcW w:w="4489" w:type="dxa"/>
          </w:tcPr>
          <w:p w:rsidR="00053F1B" w:rsidRDefault="00B478C1" w:rsidP="00F91D98">
            <w:pPr>
              <w:pStyle w:val="Paragraphedeliste"/>
              <w:ind w:left="0"/>
              <w:jc w:val="both"/>
              <w:rPr>
                <w:sz w:val="24"/>
                <w:szCs w:val="24"/>
              </w:rPr>
            </w:pPr>
            <w:r>
              <w:rPr>
                <w:sz w:val="24"/>
                <w:szCs w:val="24"/>
              </w:rPr>
              <w:t xml:space="preserve">Faible consommation d'eau, </w:t>
            </w:r>
            <w:r w:rsidR="00E87A84">
              <w:rPr>
                <w:sz w:val="24"/>
                <w:szCs w:val="24"/>
              </w:rPr>
              <w:t xml:space="preserve">Rupture périodique d'eau, existence de plusieurs puits </w:t>
            </w:r>
            <w:r>
              <w:rPr>
                <w:sz w:val="24"/>
                <w:szCs w:val="24"/>
              </w:rPr>
              <w:t>privés</w:t>
            </w:r>
            <w:r w:rsidR="00E87A84">
              <w:rPr>
                <w:sz w:val="24"/>
                <w:szCs w:val="24"/>
              </w:rPr>
              <w:t xml:space="preserve"> </w:t>
            </w:r>
          </w:p>
        </w:tc>
        <w:tc>
          <w:tcPr>
            <w:tcW w:w="3148" w:type="dxa"/>
          </w:tcPr>
          <w:p w:rsidR="00053F1B" w:rsidRDefault="00B478C1" w:rsidP="00F91D98">
            <w:pPr>
              <w:pStyle w:val="Paragraphedeliste"/>
              <w:ind w:left="0"/>
              <w:jc w:val="both"/>
              <w:rPr>
                <w:sz w:val="24"/>
                <w:szCs w:val="24"/>
              </w:rPr>
            </w:pPr>
            <w:r>
              <w:rPr>
                <w:sz w:val="24"/>
                <w:szCs w:val="24"/>
              </w:rPr>
              <w:t xml:space="preserve">Continuer la sensibilisation pour rehausser niveau de consommation d'eau. </w:t>
            </w:r>
          </w:p>
        </w:tc>
      </w:tr>
      <w:tr w:rsidR="00053F1B" w:rsidTr="00053F1B">
        <w:trPr>
          <w:trHeight w:val="300"/>
        </w:trPr>
        <w:tc>
          <w:tcPr>
            <w:tcW w:w="1806" w:type="dxa"/>
          </w:tcPr>
          <w:p w:rsidR="00053F1B" w:rsidRDefault="00B478C1" w:rsidP="00F91D98">
            <w:pPr>
              <w:pStyle w:val="Paragraphedeliste"/>
              <w:ind w:left="0"/>
              <w:jc w:val="both"/>
              <w:rPr>
                <w:sz w:val="24"/>
                <w:szCs w:val="24"/>
              </w:rPr>
            </w:pPr>
            <w:r>
              <w:rPr>
                <w:sz w:val="24"/>
                <w:szCs w:val="24"/>
              </w:rPr>
              <w:t>Koniakary</w:t>
            </w:r>
          </w:p>
        </w:tc>
        <w:tc>
          <w:tcPr>
            <w:tcW w:w="4489" w:type="dxa"/>
          </w:tcPr>
          <w:p w:rsidR="00053F1B" w:rsidRDefault="00B478C1" w:rsidP="00B478C1">
            <w:pPr>
              <w:pStyle w:val="Paragraphedeliste"/>
              <w:ind w:left="0"/>
              <w:jc w:val="both"/>
              <w:rPr>
                <w:sz w:val="24"/>
                <w:szCs w:val="24"/>
              </w:rPr>
            </w:pPr>
            <w:r>
              <w:rPr>
                <w:sz w:val="24"/>
                <w:szCs w:val="24"/>
              </w:rPr>
              <w:t>La consommation en carburant très élevée le nouveau groupe électrogène</w:t>
            </w:r>
            <w:r w:rsidR="000376B7">
              <w:rPr>
                <w:sz w:val="24"/>
                <w:szCs w:val="24"/>
              </w:rPr>
              <w:t xml:space="preserve"> (25kva)</w:t>
            </w:r>
            <w:r>
              <w:rPr>
                <w:sz w:val="24"/>
                <w:szCs w:val="24"/>
              </w:rPr>
              <w:t xml:space="preserve"> surdimensionné </w:t>
            </w:r>
          </w:p>
        </w:tc>
        <w:tc>
          <w:tcPr>
            <w:tcW w:w="3148" w:type="dxa"/>
          </w:tcPr>
          <w:p w:rsidR="00053F1B" w:rsidRDefault="000376B7" w:rsidP="00F91D98">
            <w:pPr>
              <w:pStyle w:val="Paragraphedeliste"/>
              <w:ind w:left="0"/>
              <w:jc w:val="both"/>
              <w:rPr>
                <w:sz w:val="24"/>
                <w:szCs w:val="24"/>
              </w:rPr>
            </w:pPr>
            <w:r>
              <w:rPr>
                <w:sz w:val="24"/>
                <w:szCs w:val="24"/>
              </w:rPr>
              <w:t xml:space="preserve">Envisager d'autres sources d'énergies il y va de la pérennité du service public de l'eau </w:t>
            </w:r>
          </w:p>
        </w:tc>
      </w:tr>
      <w:tr w:rsidR="000376B7" w:rsidTr="00053F1B">
        <w:trPr>
          <w:trHeight w:val="300"/>
        </w:trPr>
        <w:tc>
          <w:tcPr>
            <w:tcW w:w="1806" w:type="dxa"/>
          </w:tcPr>
          <w:p w:rsidR="000376B7" w:rsidRDefault="00F35C8E" w:rsidP="00F91D98">
            <w:pPr>
              <w:pStyle w:val="Paragraphedeliste"/>
              <w:ind w:left="0"/>
              <w:jc w:val="both"/>
              <w:rPr>
                <w:sz w:val="24"/>
                <w:szCs w:val="24"/>
              </w:rPr>
            </w:pPr>
            <w:r>
              <w:rPr>
                <w:sz w:val="24"/>
                <w:szCs w:val="24"/>
              </w:rPr>
              <w:t>Diamou</w:t>
            </w:r>
          </w:p>
        </w:tc>
        <w:tc>
          <w:tcPr>
            <w:tcW w:w="4489" w:type="dxa"/>
          </w:tcPr>
          <w:p w:rsidR="000376B7" w:rsidRDefault="00F35C8E" w:rsidP="00B478C1">
            <w:pPr>
              <w:pStyle w:val="Paragraphedeliste"/>
              <w:ind w:left="0"/>
              <w:jc w:val="both"/>
              <w:rPr>
                <w:sz w:val="24"/>
                <w:szCs w:val="24"/>
              </w:rPr>
            </w:pPr>
            <w:r>
              <w:rPr>
                <w:sz w:val="24"/>
                <w:szCs w:val="24"/>
              </w:rPr>
              <w:t>Onduleur en panne</w:t>
            </w:r>
          </w:p>
        </w:tc>
        <w:tc>
          <w:tcPr>
            <w:tcW w:w="3148" w:type="dxa"/>
          </w:tcPr>
          <w:p w:rsidR="000376B7" w:rsidRDefault="00925304" w:rsidP="00F91D98">
            <w:pPr>
              <w:pStyle w:val="Paragraphedeliste"/>
              <w:ind w:left="0"/>
              <w:jc w:val="both"/>
              <w:rPr>
                <w:sz w:val="24"/>
                <w:szCs w:val="24"/>
              </w:rPr>
            </w:pPr>
            <w:r>
              <w:rPr>
                <w:sz w:val="24"/>
                <w:szCs w:val="24"/>
              </w:rPr>
              <w:t xml:space="preserve">Renouveler l'onduleur mais faites attention à la spéculation </w:t>
            </w:r>
          </w:p>
          <w:p w:rsidR="002B6926" w:rsidRDefault="002B6926" w:rsidP="00F91D98">
            <w:pPr>
              <w:pStyle w:val="Paragraphedeliste"/>
              <w:ind w:left="0"/>
              <w:jc w:val="both"/>
              <w:rPr>
                <w:sz w:val="24"/>
                <w:szCs w:val="24"/>
              </w:rPr>
            </w:pPr>
          </w:p>
        </w:tc>
      </w:tr>
      <w:tr w:rsidR="000376B7" w:rsidTr="00053F1B">
        <w:trPr>
          <w:trHeight w:val="300"/>
        </w:trPr>
        <w:tc>
          <w:tcPr>
            <w:tcW w:w="1806" w:type="dxa"/>
          </w:tcPr>
          <w:p w:rsidR="000376B7" w:rsidRDefault="002B6926" w:rsidP="00F91D98">
            <w:pPr>
              <w:pStyle w:val="Paragraphedeliste"/>
              <w:ind w:left="0"/>
              <w:jc w:val="both"/>
              <w:rPr>
                <w:sz w:val="24"/>
                <w:szCs w:val="24"/>
              </w:rPr>
            </w:pPr>
            <w:r>
              <w:rPr>
                <w:sz w:val="24"/>
                <w:szCs w:val="24"/>
              </w:rPr>
              <w:lastRenderedPageBreak/>
              <w:t>Sitakily</w:t>
            </w:r>
          </w:p>
        </w:tc>
        <w:tc>
          <w:tcPr>
            <w:tcW w:w="4489" w:type="dxa"/>
          </w:tcPr>
          <w:p w:rsidR="000376B7" w:rsidRDefault="002B6926" w:rsidP="00B478C1">
            <w:pPr>
              <w:pStyle w:val="Paragraphedeliste"/>
              <w:ind w:left="0"/>
              <w:jc w:val="both"/>
              <w:rPr>
                <w:sz w:val="24"/>
                <w:szCs w:val="24"/>
              </w:rPr>
            </w:pPr>
            <w:r>
              <w:rPr>
                <w:sz w:val="24"/>
                <w:szCs w:val="24"/>
              </w:rPr>
              <w:t>Consommation industrielle (orpaillage traditionnelle)  au profit de la consommation domestique</w:t>
            </w:r>
          </w:p>
        </w:tc>
        <w:tc>
          <w:tcPr>
            <w:tcW w:w="3148" w:type="dxa"/>
          </w:tcPr>
          <w:p w:rsidR="000376B7" w:rsidRDefault="002B6926" w:rsidP="00F91D98">
            <w:pPr>
              <w:pStyle w:val="Paragraphedeliste"/>
              <w:ind w:left="0"/>
              <w:jc w:val="both"/>
              <w:rPr>
                <w:sz w:val="24"/>
                <w:szCs w:val="24"/>
              </w:rPr>
            </w:pPr>
            <w:r>
              <w:rPr>
                <w:sz w:val="24"/>
                <w:szCs w:val="24"/>
              </w:rPr>
              <w:t>Donner la priorité à la consommation domestique c'est l'objectif principal en matière d'eau et assainissement</w:t>
            </w:r>
          </w:p>
        </w:tc>
      </w:tr>
      <w:tr w:rsidR="000376B7" w:rsidTr="00053F1B">
        <w:trPr>
          <w:trHeight w:val="300"/>
        </w:trPr>
        <w:tc>
          <w:tcPr>
            <w:tcW w:w="1806" w:type="dxa"/>
          </w:tcPr>
          <w:p w:rsidR="000376B7" w:rsidRDefault="00C40536" w:rsidP="00F91D98">
            <w:pPr>
              <w:pStyle w:val="Paragraphedeliste"/>
              <w:ind w:left="0"/>
              <w:jc w:val="both"/>
              <w:rPr>
                <w:sz w:val="24"/>
                <w:szCs w:val="24"/>
              </w:rPr>
            </w:pPr>
            <w:r>
              <w:rPr>
                <w:sz w:val="24"/>
                <w:szCs w:val="24"/>
              </w:rPr>
              <w:t>Serenaty</w:t>
            </w:r>
          </w:p>
        </w:tc>
        <w:tc>
          <w:tcPr>
            <w:tcW w:w="4489" w:type="dxa"/>
          </w:tcPr>
          <w:p w:rsidR="000376B7" w:rsidRDefault="00C40536" w:rsidP="00B478C1">
            <w:pPr>
              <w:pStyle w:val="Paragraphedeliste"/>
              <w:ind w:left="0"/>
              <w:jc w:val="both"/>
              <w:rPr>
                <w:sz w:val="24"/>
                <w:szCs w:val="24"/>
              </w:rPr>
            </w:pPr>
            <w:r>
              <w:rPr>
                <w:sz w:val="24"/>
                <w:szCs w:val="24"/>
              </w:rPr>
              <w:t xml:space="preserve">Défaut d'allumage du groupe </w:t>
            </w:r>
            <w:r w:rsidR="00824547">
              <w:rPr>
                <w:sz w:val="24"/>
                <w:szCs w:val="24"/>
              </w:rPr>
              <w:t>électrogène (Problème de mémoire)</w:t>
            </w:r>
          </w:p>
        </w:tc>
        <w:tc>
          <w:tcPr>
            <w:tcW w:w="3148" w:type="dxa"/>
          </w:tcPr>
          <w:p w:rsidR="000376B7" w:rsidRDefault="00824547" w:rsidP="00F91D98">
            <w:pPr>
              <w:pStyle w:val="Paragraphedeliste"/>
              <w:ind w:left="0"/>
              <w:jc w:val="both"/>
              <w:rPr>
                <w:sz w:val="24"/>
                <w:szCs w:val="24"/>
              </w:rPr>
            </w:pPr>
            <w:r>
              <w:rPr>
                <w:sz w:val="24"/>
                <w:szCs w:val="24"/>
              </w:rPr>
              <w:t xml:space="preserve">Contacter le fournisseur pour </w:t>
            </w:r>
            <w:r w:rsidR="004A1250">
              <w:rPr>
                <w:sz w:val="24"/>
                <w:szCs w:val="24"/>
              </w:rPr>
              <w:t>résoudre</w:t>
            </w:r>
            <w:r>
              <w:rPr>
                <w:sz w:val="24"/>
                <w:szCs w:val="24"/>
              </w:rPr>
              <w:t xml:space="preserve"> le problème </w:t>
            </w:r>
          </w:p>
        </w:tc>
      </w:tr>
      <w:tr w:rsidR="000376B7" w:rsidTr="00053F1B">
        <w:trPr>
          <w:trHeight w:val="300"/>
        </w:trPr>
        <w:tc>
          <w:tcPr>
            <w:tcW w:w="1806" w:type="dxa"/>
          </w:tcPr>
          <w:p w:rsidR="000376B7" w:rsidRDefault="004A1250" w:rsidP="00F91D98">
            <w:pPr>
              <w:pStyle w:val="Paragraphedeliste"/>
              <w:ind w:left="0"/>
              <w:jc w:val="both"/>
              <w:rPr>
                <w:sz w:val="24"/>
                <w:szCs w:val="24"/>
              </w:rPr>
            </w:pPr>
            <w:r>
              <w:rPr>
                <w:sz w:val="24"/>
                <w:szCs w:val="24"/>
              </w:rPr>
              <w:t>Sibindi</w:t>
            </w:r>
          </w:p>
        </w:tc>
        <w:tc>
          <w:tcPr>
            <w:tcW w:w="4489" w:type="dxa"/>
          </w:tcPr>
          <w:p w:rsidR="000376B7" w:rsidRDefault="004A1250" w:rsidP="00B478C1">
            <w:pPr>
              <w:pStyle w:val="Paragraphedeliste"/>
              <w:ind w:left="0"/>
              <w:jc w:val="both"/>
              <w:rPr>
                <w:sz w:val="24"/>
                <w:szCs w:val="24"/>
              </w:rPr>
            </w:pPr>
            <w:r>
              <w:rPr>
                <w:sz w:val="24"/>
                <w:szCs w:val="24"/>
              </w:rPr>
              <w:t>Fuite d'eau sur certains compteurs de consommation</w:t>
            </w:r>
          </w:p>
        </w:tc>
        <w:tc>
          <w:tcPr>
            <w:tcW w:w="3148" w:type="dxa"/>
          </w:tcPr>
          <w:p w:rsidR="000376B7" w:rsidRDefault="004A1250" w:rsidP="00F91D98">
            <w:pPr>
              <w:pStyle w:val="Paragraphedeliste"/>
              <w:ind w:left="0"/>
              <w:jc w:val="both"/>
              <w:rPr>
                <w:sz w:val="24"/>
                <w:szCs w:val="24"/>
              </w:rPr>
            </w:pPr>
            <w:r>
              <w:rPr>
                <w:sz w:val="24"/>
                <w:szCs w:val="24"/>
              </w:rPr>
              <w:t xml:space="preserve">Renouveler systématiquement tous les compteurs défaillants  </w:t>
            </w:r>
          </w:p>
        </w:tc>
      </w:tr>
      <w:tr w:rsidR="004A1250" w:rsidTr="00053F1B">
        <w:trPr>
          <w:trHeight w:val="300"/>
        </w:trPr>
        <w:tc>
          <w:tcPr>
            <w:tcW w:w="1806" w:type="dxa"/>
          </w:tcPr>
          <w:p w:rsidR="004A1250" w:rsidRDefault="008074BF" w:rsidP="00F91D98">
            <w:pPr>
              <w:pStyle w:val="Paragraphedeliste"/>
              <w:ind w:left="0"/>
              <w:jc w:val="both"/>
              <w:rPr>
                <w:sz w:val="24"/>
                <w:szCs w:val="24"/>
              </w:rPr>
            </w:pPr>
            <w:r>
              <w:rPr>
                <w:sz w:val="24"/>
                <w:szCs w:val="24"/>
              </w:rPr>
              <w:t>Kourounikoto</w:t>
            </w:r>
          </w:p>
        </w:tc>
        <w:tc>
          <w:tcPr>
            <w:tcW w:w="4489" w:type="dxa"/>
          </w:tcPr>
          <w:p w:rsidR="004A1250" w:rsidRDefault="008074BF" w:rsidP="00B478C1">
            <w:pPr>
              <w:pStyle w:val="Paragraphedeliste"/>
              <w:ind w:left="0"/>
              <w:jc w:val="both"/>
              <w:rPr>
                <w:sz w:val="24"/>
                <w:szCs w:val="24"/>
              </w:rPr>
            </w:pPr>
            <w:r>
              <w:rPr>
                <w:sz w:val="24"/>
                <w:szCs w:val="24"/>
              </w:rPr>
              <w:t>Fuite d'eau sur le réseau de distribution, toilette en très mauvais état</w:t>
            </w:r>
          </w:p>
        </w:tc>
        <w:tc>
          <w:tcPr>
            <w:tcW w:w="3148" w:type="dxa"/>
          </w:tcPr>
          <w:p w:rsidR="004A1250" w:rsidRDefault="008074BF" w:rsidP="00F91D98">
            <w:pPr>
              <w:pStyle w:val="Paragraphedeliste"/>
              <w:ind w:left="0"/>
              <w:jc w:val="both"/>
              <w:rPr>
                <w:sz w:val="24"/>
                <w:szCs w:val="24"/>
              </w:rPr>
            </w:pPr>
            <w:r>
              <w:rPr>
                <w:sz w:val="24"/>
                <w:szCs w:val="24"/>
              </w:rPr>
              <w:t xml:space="preserve">Prendre des dispositions pour réparer la fuite et mettre en bon état la toilette </w:t>
            </w:r>
          </w:p>
        </w:tc>
      </w:tr>
    </w:tbl>
    <w:p w:rsidR="00F91D98" w:rsidRDefault="00573586" w:rsidP="00F91D98">
      <w:pPr>
        <w:pStyle w:val="Paragraphedeliste"/>
        <w:ind w:left="567"/>
        <w:jc w:val="both"/>
        <w:rPr>
          <w:sz w:val="24"/>
          <w:szCs w:val="24"/>
        </w:rPr>
      </w:pPr>
      <w:r>
        <w:rPr>
          <w:sz w:val="24"/>
          <w:szCs w:val="24"/>
        </w:rPr>
        <w:t xml:space="preserve"> </w:t>
      </w:r>
      <w:r w:rsidR="00826EF6">
        <w:rPr>
          <w:sz w:val="24"/>
          <w:szCs w:val="24"/>
        </w:rPr>
        <w:t xml:space="preserve"> </w:t>
      </w:r>
    </w:p>
    <w:p w:rsidR="00B63E7C" w:rsidRDefault="00B63E7C" w:rsidP="00B63E7C">
      <w:pPr>
        <w:pStyle w:val="Paragraphedeliste"/>
        <w:numPr>
          <w:ilvl w:val="0"/>
          <w:numId w:val="3"/>
        </w:numPr>
        <w:ind w:left="426" w:firstLine="0"/>
        <w:jc w:val="both"/>
        <w:rPr>
          <w:b/>
          <w:sz w:val="24"/>
          <w:szCs w:val="24"/>
        </w:rPr>
      </w:pPr>
      <w:r w:rsidRPr="004D0A03">
        <w:rPr>
          <w:b/>
          <w:sz w:val="24"/>
          <w:szCs w:val="24"/>
        </w:rPr>
        <w:t>Le temps de restitution du rapport financier et des constats technique en AG</w:t>
      </w:r>
    </w:p>
    <w:p w:rsidR="004D0A03" w:rsidRDefault="004D0A03" w:rsidP="004D0A03">
      <w:pPr>
        <w:pStyle w:val="Paragraphedeliste"/>
        <w:ind w:left="-142" w:hanging="142"/>
        <w:jc w:val="both"/>
        <w:rPr>
          <w:sz w:val="24"/>
          <w:szCs w:val="24"/>
        </w:rPr>
      </w:pPr>
      <w:r w:rsidRPr="004D0A03">
        <w:rPr>
          <w:sz w:val="24"/>
          <w:szCs w:val="24"/>
        </w:rPr>
        <w:t>A l'issu de cette é</w:t>
      </w:r>
      <w:r>
        <w:rPr>
          <w:sz w:val="24"/>
          <w:szCs w:val="24"/>
        </w:rPr>
        <w:t xml:space="preserve">tape les discutions ont essentiellement portées sur les questions d'impayés, la faiblesse de </w:t>
      </w:r>
      <w:r w:rsidR="00A31C93">
        <w:rPr>
          <w:sz w:val="24"/>
          <w:szCs w:val="24"/>
        </w:rPr>
        <w:t xml:space="preserve">la </w:t>
      </w:r>
      <w:r>
        <w:rPr>
          <w:sz w:val="24"/>
          <w:szCs w:val="24"/>
        </w:rPr>
        <w:t>consommation</w:t>
      </w:r>
      <w:r w:rsidR="00A31C93">
        <w:rPr>
          <w:sz w:val="24"/>
          <w:szCs w:val="24"/>
        </w:rPr>
        <w:t xml:space="preserve"> d'eau</w:t>
      </w:r>
      <w:r>
        <w:rPr>
          <w:sz w:val="24"/>
          <w:szCs w:val="24"/>
        </w:rPr>
        <w:t xml:space="preserve">, le non respect du seuil de la caisse, les écart de recouvrement et de versement. </w:t>
      </w:r>
    </w:p>
    <w:p w:rsidR="00930C43" w:rsidRDefault="00930C43" w:rsidP="004D0A03">
      <w:pPr>
        <w:pStyle w:val="Paragraphedeliste"/>
        <w:ind w:left="-142" w:hanging="142"/>
        <w:jc w:val="both"/>
        <w:rPr>
          <w:sz w:val="24"/>
          <w:szCs w:val="24"/>
        </w:rPr>
      </w:pPr>
      <w:r>
        <w:rPr>
          <w:sz w:val="24"/>
          <w:szCs w:val="24"/>
        </w:rPr>
        <w:t>Outre, le centre de Gabou Gopela, tous les centres restitués présentent des difficultés de recouvrement des impayés</w:t>
      </w:r>
      <w:r w:rsidR="00311571">
        <w:rPr>
          <w:sz w:val="24"/>
          <w:szCs w:val="24"/>
        </w:rPr>
        <w:t xml:space="preserve">, même si certains fournissent des efforts pour recouvrer les arriérés. </w:t>
      </w:r>
    </w:p>
    <w:p w:rsidR="00CB5C86" w:rsidRDefault="00CB5C86" w:rsidP="00CB5C86">
      <w:pPr>
        <w:pStyle w:val="Paragraphedeliste"/>
        <w:numPr>
          <w:ilvl w:val="0"/>
          <w:numId w:val="4"/>
        </w:numPr>
        <w:jc w:val="both"/>
        <w:rPr>
          <w:sz w:val="24"/>
          <w:szCs w:val="24"/>
        </w:rPr>
      </w:pPr>
      <w:r>
        <w:rPr>
          <w:sz w:val="24"/>
          <w:szCs w:val="24"/>
        </w:rPr>
        <w:t xml:space="preserve">Les centres comme Marena Djombougou et Madiga Sacko présentent des écarts recouvrement respectivement de l'ordre de </w:t>
      </w:r>
      <w:r w:rsidRPr="00CB5C86">
        <w:rPr>
          <w:b/>
          <w:sz w:val="24"/>
          <w:szCs w:val="24"/>
        </w:rPr>
        <w:t>2 100 850 fcfa</w:t>
      </w:r>
      <w:r>
        <w:rPr>
          <w:sz w:val="24"/>
          <w:szCs w:val="24"/>
        </w:rPr>
        <w:t xml:space="preserve"> et de </w:t>
      </w:r>
      <w:r w:rsidRPr="00CB5C86">
        <w:rPr>
          <w:b/>
          <w:sz w:val="24"/>
          <w:szCs w:val="24"/>
        </w:rPr>
        <w:t>811 500 fcfa</w:t>
      </w:r>
      <w:r>
        <w:rPr>
          <w:sz w:val="24"/>
          <w:szCs w:val="24"/>
        </w:rPr>
        <w:t xml:space="preserve">. </w:t>
      </w:r>
    </w:p>
    <w:p w:rsidR="00CB5C86" w:rsidRDefault="00DF1414" w:rsidP="00CB5C86">
      <w:pPr>
        <w:pStyle w:val="Paragraphedeliste"/>
        <w:numPr>
          <w:ilvl w:val="0"/>
          <w:numId w:val="4"/>
        </w:numPr>
        <w:jc w:val="both"/>
        <w:rPr>
          <w:sz w:val="24"/>
          <w:szCs w:val="24"/>
        </w:rPr>
      </w:pPr>
      <w:r>
        <w:rPr>
          <w:sz w:val="24"/>
          <w:szCs w:val="24"/>
        </w:rPr>
        <w:t>Les centres de Leya, de Guessebiné, de Kourounikoto, de Lambatara et de Sibindi présentent des niveaux de consommation faible</w:t>
      </w:r>
      <w:r w:rsidR="00A31C93">
        <w:rPr>
          <w:sz w:val="24"/>
          <w:szCs w:val="24"/>
        </w:rPr>
        <w:t xml:space="preserve"> dû à l'abondance de source alternative d'eau</w:t>
      </w:r>
      <w:r>
        <w:rPr>
          <w:sz w:val="24"/>
          <w:szCs w:val="24"/>
        </w:rPr>
        <w:t>.</w:t>
      </w:r>
    </w:p>
    <w:p w:rsidR="004E6BB3" w:rsidRPr="004E6BB3" w:rsidRDefault="004E6BB3" w:rsidP="004E6BB3">
      <w:pPr>
        <w:pStyle w:val="Paragraphedeliste"/>
        <w:ind w:left="-426" w:firstLine="142"/>
        <w:jc w:val="both"/>
        <w:rPr>
          <w:b/>
          <w:sz w:val="24"/>
          <w:szCs w:val="24"/>
          <w:u w:val="single"/>
        </w:rPr>
      </w:pPr>
      <w:r w:rsidRPr="004E6BB3">
        <w:rPr>
          <w:b/>
          <w:sz w:val="24"/>
          <w:szCs w:val="24"/>
          <w:u w:val="single"/>
        </w:rPr>
        <w:t>Recommandations</w:t>
      </w:r>
    </w:p>
    <w:p w:rsidR="004E6BB3" w:rsidRDefault="00FB3CB0" w:rsidP="004E6BB3">
      <w:pPr>
        <w:pStyle w:val="Paragraphedeliste"/>
        <w:ind w:left="-426" w:firstLine="142"/>
        <w:jc w:val="both"/>
        <w:rPr>
          <w:sz w:val="24"/>
          <w:szCs w:val="24"/>
        </w:rPr>
      </w:pPr>
      <w:r>
        <w:rPr>
          <w:sz w:val="24"/>
          <w:szCs w:val="24"/>
        </w:rPr>
        <w:t>De façon générale,</w:t>
      </w:r>
      <w:r w:rsidR="004E6BB3">
        <w:rPr>
          <w:sz w:val="24"/>
          <w:szCs w:val="24"/>
        </w:rPr>
        <w:t xml:space="preserve"> les responsables chargés de la gestion </w:t>
      </w:r>
      <w:r>
        <w:rPr>
          <w:sz w:val="24"/>
          <w:szCs w:val="24"/>
        </w:rPr>
        <w:t xml:space="preserve">de l'AEP doivent mettre en place des stratégies de recouvrement des factures et éviter le cumul des impayés. Il doivent poursuivre la sensibilisation  des usagers pour relever le niveau de consommation d'eau. </w:t>
      </w:r>
    </w:p>
    <w:p w:rsidR="00FB3CB0" w:rsidRPr="004E6BB3" w:rsidRDefault="00FB3CB0" w:rsidP="00FB3CB0">
      <w:pPr>
        <w:pStyle w:val="Paragraphedeliste"/>
        <w:ind w:left="-426"/>
        <w:jc w:val="both"/>
        <w:rPr>
          <w:sz w:val="24"/>
          <w:szCs w:val="24"/>
        </w:rPr>
      </w:pPr>
      <w:r>
        <w:rPr>
          <w:sz w:val="24"/>
          <w:szCs w:val="24"/>
        </w:rPr>
        <w:t xml:space="preserve">Spécifiquement, le bureau doit suivre la chaine de recouvrement des factures pour minimiser les écarts entre le recouvrement et le versement, notamment à Marena Djombougou et à </w:t>
      </w:r>
      <w:r w:rsidR="00DB5124">
        <w:rPr>
          <w:sz w:val="24"/>
          <w:szCs w:val="24"/>
        </w:rPr>
        <w:t>Madiga Sacko.</w:t>
      </w:r>
      <w:r>
        <w:rPr>
          <w:sz w:val="24"/>
          <w:szCs w:val="24"/>
        </w:rPr>
        <w:t xml:space="preserve"> </w:t>
      </w:r>
    </w:p>
    <w:sectPr w:rsidR="00FB3CB0" w:rsidRPr="004E6BB3" w:rsidSect="0044167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00C" w:rsidRDefault="003F600C" w:rsidP="00A31C93">
      <w:pPr>
        <w:pStyle w:val="Paragraphedeliste"/>
        <w:spacing w:after="0" w:line="240" w:lineRule="auto"/>
      </w:pPr>
      <w:r>
        <w:separator/>
      </w:r>
    </w:p>
  </w:endnote>
  <w:endnote w:type="continuationSeparator" w:id="1">
    <w:p w:rsidR="003F600C" w:rsidRDefault="003F600C" w:rsidP="00A31C93">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93" w:rsidRDefault="00A31C93">
    <w:pPr>
      <w:pStyle w:val="Pieddepage"/>
      <w:pBdr>
        <w:top w:val="thinThickSmallGap" w:sz="24" w:space="1" w:color="622423" w:themeColor="accent2" w:themeShade="7F"/>
      </w:pBdr>
      <w:rPr>
        <w:rFonts w:asciiTheme="majorHAnsi" w:hAnsiTheme="majorHAnsi"/>
      </w:rPr>
    </w:pPr>
    <w:r>
      <w:rPr>
        <w:rFonts w:asciiTheme="majorHAnsi" w:hAnsiTheme="majorHAnsi"/>
      </w:rPr>
      <w:t>Kayes/décembre 2015</w:t>
    </w:r>
    <w:r>
      <w:rPr>
        <w:rFonts w:asciiTheme="majorHAnsi" w:hAnsiTheme="majorHAnsi"/>
      </w:rPr>
      <w:ptab w:relativeTo="margin" w:alignment="right" w:leader="none"/>
    </w:r>
    <w:r>
      <w:rPr>
        <w:rFonts w:asciiTheme="majorHAnsi" w:hAnsiTheme="majorHAnsi"/>
      </w:rPr>
      <w:t xml:space="preserve">Page </w:t>
    </w:r>
    <w:fldSimple w:instr=" PAGE   \* MERGEFORMAT ">
      <w:r w:rsidRPr="00A31C93">
        <w:rPr>
          <w:rFonts w:asciiTheme="majorHAnsi" w:hAnsiTheme="majorHAnsi"/>
          <w:noProof/>
        </w:rPr>
        <w:t>2</w:t>
      </w:r>
    </w:fldSimple>
  </w:p>
  <w:p w:rsidR="00A31C93" w:rsidRDefault="00A31C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00C" w:rsidRDefault="003F600C" w:rsidP="00A31C93">
      <w:pPr>
        <w:pStyle w:val="Paragraphedeliste"/>
        <w:spacing w:after="0" w:line="240" w:lineRule="auto"/>
      </w:pPr>
      <w:r>
        <w:separator/>
      </w:r>
    </w:p>
  </w:footnote>
  <w:footnote w:type="continuationSeparator" w:id="1">
    <w:p w:rsidR="003F600C" w:rsidRDefault="003F600C" w:rsidP="00A31C93">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56"/>
        <w:szCs w:val="56"/>
      </w:rPr>
      <w:alias w:val="Titre"/>
      <w:id w:val="77738743"/>
      <w:placeholder>
        <w:docPart w:val="16D08253E74740A4B116F716F3D5C3A9"/>
      </w:placeholder>
      <w:dataBinding w:prefixMappings="xmlns:ns0='http://schemas.openxmlformats.org/package/2006/metadata/core-properties' xmlns:ns1='http://purl.org/dc/elements/1.1/'" w:xpath="/ns0:coreProperties[1]/ns1:title[1]" w:storeItemID="{6C3C8BC8-F283-45AE-878A-BAB7291924A1}"/>
      <w:text/>
    </w:sdtPr>
    <w:sdtContent>
      <w:p w:rsidR="00A31C93" w:rsidRPr="00A31C93" w:rsidRDefault="00A31C93">
        <w:pPr>
          <w:pStyle w:val="En-tte"/>
          <w:pBdr>
            <w:bottom w:val="thickThinSmallGap" w:sz="24" w:space="1" w:color="622423" w:themeColor="accent2" w:themeShade="7F"/>
          </w:pBdr>
          <w:jc w:val="center"/>
          <w:rPr>
            <w:rFonts w:asciiTheme="majorHAnsi" w:eastAsiaTheme="majorEastAsia" w:hAnsiTheme="majorHAnsi" w:cstheme="majorBidi"/>
            <w:sz w:val="56"/>
            <w:szCs w:val="56"/>
          </w:rPr>
        </w:pPr>
        <w:r w:rsidRPr="00A31C93">
          <w:rPr>
            <w:rFonts w:asciiTheme="majorHAnsi" w:eastAsiaTheme="majorEastAsia" w:hAnsiTheme="majorHAnsi" w:cstheme="majorBidi"/>
            <w:sz w:val="56"/>
            <w:szCs w:val="56"/>
          </w:rPr>
          <w:t>GROUPE AGED-2AEP</w:t>
        </w:r>
      </w:p>
    </w:sdtContent>
  </w:sdt>
  <w:p w:rsidR="00A31C93" w:rsidRDefault="00A31C9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pt;height:9pt" o:bullet="t">
        <v:imagedata r:id="rId1" o:title="j0115844"/>
      </v:shape>
    </w:pict>
  </w:numPicBullet>
  <w:abstractNum w:abstractNumId="0">
    <w:nsid w:val="6053081C"/>
    <w:multiLevelType w:val="hybridMultilevel"/>
    <w:tmpl w:val="AE5ED9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677411F1"/>
    <w:multiLevelType w:val="hybridMultilevel"/>
    <w:tmpl w:val="EB3E459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74C61E85"/>
    <w:multiLevelType w:val="hybridMultilevel"/>
    <w:tmpl w:val="C240BB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B47350C"/>
    <w:multiLevelType w:val="hybridMultilevel"/>
    <w:tmpl w:val="9B44288E"/>
    <w:lvl w:ilvl="0" w:tplc="7034E19E">
      <w:start w:val="1"/>
      <w:numFmt w:val="bullet"/>
      <w:lvlText w:val=""/>
      <w:lvlPicBulletId w:val="0"/>
      <w:lvlJc w:val="left"/>
      <w:pPr>
        <w:ind w:left="436" w:hanging="360"/>
      </w:pPr>
      <w:rPr>
        <w:rFonts w:ascii="Symbol" w:hAnsi="Symbol" w:hint="default"/>
        <w:color w:val="auto"/>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59B1"/>
    <w:rsid w:val="000376B7"/>
    <w:rsid w:val="00053F1B"/>
    <w:rsid w:val="000B59B1"/>
    <w:rsid w:val="00142F84"/>
    <w:rsid w:val="002B6926"/>
    <w:rsid w:val="00311571"/>
    <w:rsid w:val="003F600C"/>
    <w:rsid w:val="00441676"/>
    <w:rsid w:val="004A1250"/>
    <w:rsid w:val="004D0A03"/>
    <w:rsid w:val="004E6BB3"/>
    <w:rsid w:val="00555830"/>
    <w:rsid w:val="00573586"/>
    <w:rsid w:val="008074BF"/>
    <w:rsid w:val="00824547"/>
    <w:rsid w:val="00826EF6"/>
    <w:rsid w:val="00925304"/>
    <w:rsid w:val="00927015"/>
    <w:rsid w:val="00930C43"/>
    <w:rsid w:val="00994280"/>
    <w:rsid w:val="00A15ABB"/>
    <w:rsid w:val="00A31C93"/>
    <w:rsid w:val="00AB6181"/>
    <w:rsid w:val="00B478C1"/>
    <w:rsid w:val="00B63E7C"/>
    <w:rsid w:val="00C40536"/>
    <w:rsid w:val="00C9154E"/>
    <w:rsid w:val="00CB5C86"/>
    <w:rsid w:val="00DB5124"/>
    <w:rsid w:val="00DF1414"/>
    <w:rsid w:val="00E87A84"/>
    <w:rsid w:val="00EF4E7A"/>
    <w:rsid w:val="00F35C8E"/>
    <w:rsid w:val="00F91D98"/>
    <w:rsid w:val="00FB3C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9B1"/>
    <w:pPr>
      <w:ind w:left="720"/>
      <w:contextualSpacing/>
    </w:pPr>
  </w:style>
  <w:style w:type="table" w:styleId="Grilledutableau">
    <w:name w:val="Table Grid"/>
    <w:basedOn w:val="TableauNormal"/>
    <w:uiPriority w:val="59"/>
    <w:rsid w:val="00053F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A31C93"/>
    <w:pPr>
      <w:tabs>
        <w:tab w:val="center" w:pos="4536"/>
        <w:tab w:val="right" w:pos="9072"/>
      </w:tabs>
      <w:spacing w:after="0" w:line="240" w:lineRule="auto"/>
    </w:pPr>
  </w:style>
  <w:style w:type="character" w:customStyle="1" w:styleId="En-tteCar">
    <w:name w:val="En-tête Car"/>
    <w:basedOn w:val="Policepardfaut"/>
    <w:link w:val="En-tte"/>
    <w:uiPriority w:val="99"/>
    <w:rsid w:val="00A31C93"/>
  </w:style>
  <w:style w:type="paragraph" w:styleId="Pieddepage">
    <w:name w:val="footer"/>
    <w:basedOn w:val="Normal"/>
    <w:link w:val="PieddepageCar"/>
    <w:uiPriority w:val="99"/>
    <w:unhideWhenUsed/>
    <w:rsid w:val="00A31C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C93"/>
  </w:style>
  <w:style w:type="paragraph" w:styleId="Textedebulles">
    <w:name w:val="Balloon Text"/>
    <w:basedOn w:val="Normal"/>
    <w:link w:val="TextedebullesCar"/>
    <w:uiPriority w:val="99"/>
    <w:semiHidden/>
    <w:unhideWhenUsed/>
    <w:rsid w:val="00A31C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1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D08253E74740A4B116F716F3D5C3A9"/>
        <w:category>
          <w:name w:val="Général"/>
          <w:gallery w:val="placeholder"/>
        </w:category>
        <w:types>
          <w:type w:val="bbPlcHdr"/>
        </w:types>
        <w:behaviors>
          <w:behavior w:val="content"/>
        </w:behaviors>
        <w:guid w:val="{9F3BC3CF-C600-4F60-8687-F0757AFB0688}"/>
      </w:docPartPr>
      <w:docPartBody>
        <w:p w:rsidR="00000000" w:rsidRDefault="00AB3F4E" w:rsidP="00AB3F4E">
          <w:pPr>
            <w:pStyle w:val="16D08253E74740A4B116F716F3D5C3A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B3F4E"/>
    <w:rsid w:val="004004B4"/>
    <w:rsid w:val="00AB3F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6D08253E74740A4B116F716F3D5C3A9">
    <w:name w:val="16D08253E74740A4B116F716F3D5C3A9"/>
    <w:rsid w:val="00AB3F4E"/>
  </w:style>
  <w:style w:type="paragraph" w:customStyle="1" w:styleId="FAFA47F54D3145BD8F61C3BCCE31C325">
    <w:name w:val="FAFA47F54D3145BD8F61C3BCCE31C325"/>
    <w:rsid w:val="00AB3F4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632</Words>
  <Characters>3480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 AGED-2AEP</dc:title>
  <dc:creator>Seydou DIALLO</dc:creator>
  <cp:lastModifiedBy>Seydou DIALLO</cp:lastModifiedBy>
  <cp:revision>14</cp:revision>
  <dcterms:created xsi:type="dcterms:W3CDTF">2015-12-11T11:04:00Z</dcterms:created>
  <dcterms:modified xsi:type="dcterms:W3CDTF">2015-12-11T18:14:00Z</dcterms:modified>
</cp:coreProperties>
</file>